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78C60" w14:textId="53DEA720" w:rsidR="00555093" w:rsidRDefault="00B05C33" w:rsidP="00555093">
      <w:pPr>
        <w:pStyle w:val="berschrift1"/>
        <w:spacing w:before="0"/>
      </w:pPr>
      <w:r>
        <w:t>Amine</w:t>
      </w:r>
    </w:p>
    <w:p w14:paraId="60AE7F4F" w14:textId="4B75F9BB" w:rsidR="00F73CAC" w:rsidRDefault="00F73CAC" w:rsidP="00F73CAC">
      <w:pPr>
        <w:rPr>
          <w:rFonts w:eastAsiaTheme="minorEastAsia"/>
        </w:rPr>
      </w:pPr>
      <w:r>
        <w:t xml:space="preserve">Amine sind </w:t>
      </w:r>
      <w:r w:rsidRPr="00F73CAC">
        <w:rPr>
          <w:b/>
        </w:rPr>
        <w:t>Derivate des Ammoniaks</w:t>
      </w:r>
      <w:r>
        <w:t xml:space="preserve"> (</w:t>
      </w:r>
      <m:oMath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rPr>
          <w:rFonts w:eastAsiaTheme="minorEastAsia"/>
        </w:rPr>
        <w:t>). Je nachdem, wie viele Wasserstoffatome mit einem Kohlenwasserstoffrest ersetzt wurde, spricht man von primären, sekundären und tertiären Aminen.</w:t>
      </w:r>
    </w:p>
    <w:p w14:paraId="07FA4A10" w14:textId="58B34362" w:rsidR="00F73CAC" w:rsidRDefault="00F73CAC" w:rsidP="00F73CAC">
      <w:pPr>
        <w:rPr>
          <w:rFonts w:eastAsiaTheme="minorEastAsia"/>
        </w:rPr>
      </w:pPr>
      <w:r>
        <w:rPr>
          <w:rFonts w:eastAsiaTheme="minorEastAsia"/>
        </w:rPr>
        <w:t>[ 1 ]</w:t>
      </w:r>
    </w:p>
    <w:p w14:paraId="702CF3D8" w14:textId="07939F3B" w:rsidR="00F73CAC" w:rsidRDefault="00F73CAC" w:rsidP="00F73CAC">
      <w:pPr>
        <w:rPr>
          <w:rFonts w:eastAsiaTheme="minorEastAsia"/>
        </w:rPr>
      </w:pPr>
    </w:p>
    <w:p w14:paraId="4550545A" w14:textId="35C0EA32" w:rsidR="00F73CAC" w:rsidRDefault="00F73CAC" w:rsidP="00F73CAC">
      <w:pPr>
        <w:rPr>
          <w:rFonts w:eastAsiaTheme="minorEastAsia"/>
        </w:rPr>
      </w:pPr>
    </w:p>
    <w:p w14:paraId="44E5506A" w14:textId="2C4ABA97" w:rsidR="00F73CAC" w:rsidRDefault="00F73CAC" w:rsidP="00F73CAC">
      <w:pPr>
        <w:rPr>
          <w:rFonts w:eastAsiaTheme="minorEastAsia"/>
        </w:rPr>
      </w:pPr>
    </w:p>
    <w:p w14:paraId="49E502A7" w14:textId="55631364" w:rsidR="00F73CAC" w:rsidRDefault="00F73CAC" w:rsidP="00F73CAC">
      <w:pPr>
        <w:rPr>
          <w:rFonts w:eastAsiaTheme="minorEastAsia"/>
        </w:rPr>
      </w:pPr>
      <w:r>
        <w:rPr>
          <w:rFonts w:eastAsiaTheme="minorEastAsia"/>
        </w:rPr>
        <w:t>Ähnliche wie die Bezeichnungen der Alkohole auf -ol enden, so benennt man Stickstoffverbindungen mit der Endung -amin.</w:t>
      </w:r>
    </w:p>
    <w:p w14:paraId="54EBC45C" w14:textId="36F6D07A" w:rsidR="00F73CAC" w:rsidRDefault="00F73CAC" w:rsidP="00F73CAC">
      <w:pPr>
        <w:rPr>
          <w:rFonts w:eastAsiaTheme="minorEastAsia"/>
        </w:rPr>
      </w:pPr>
      <w:r>
        <w:rPr>
          <w:rFonts w:eastAsiaTheme="minorEastAsia"/>
        </w:rPr>
        <w:t>[ 2 ]</w:t>
      </w:r>
    </w:p>
    <w:p w14:paraId="35A8A6EC" w14:textId="221873F8" w:rsidR="00F73CAC" w:rsidRDefault="00F73CAC" w:rsidP="00F73CAC">
      <w:pPr>
        <w:rPr>
          <w:rFonts w:eastAsiaTheme="minorEastAsia"/>
        </w:rPr>
      </w:pPr>
    </w:p>
    <w:p w14:paraId="1F25A878" w14:textId="02BCBFFD" w:rsidR="00F73CAC" w:rsidRDefault="00F73CAC" w:rsidP="00F73CAC">
      <w:pPr>
        <w:rPr>
          <w:rFonts w:eastAsiaTheme="minorEastAsia"/>
        </w:rPr>
      </w:pPr>
    </w:p>
    <w:p w14:paraId="1E1E0FD3" w14:textId="5619520A" w:rsidR="00F73CAC" w:rsidRPr="00F73CAC" w:rsidRDefault="00F73CAC" w:rsidP="00F73CAC">
      <w:pPr>
        <w:rPr>
          <w:rFonts w:eastAsiaTheme="minorEastAsia"/>
          <w:b/>
        </w:rPr>
      </w:pPr>
      <w:r w:rsidRPr="00F73CAC">
        <w:rPr>
          <w:rFonts w:eastAsiaTheme="minorEastAsia"/>
          <w:b/>
        </w:rPr>
        <w:t>Ethanamin</w:t>
      </w:r>
    </w:p>
    <w:p w14:paraId="246D2F63" w14:textId="0BBFB612" w:rsidR="00F73CAC" w:rsidRDefault="00F73CAC" w:rsidP="00F73CAC">
      <w:pPr>
        <w:rPr>
          <w:rFonts w:eastAsiaTheme="minorEastAsia"/>
        </w:rPr>
      </w:pPr>
    </w:p>
    <w:p w14:paraId="54B8807E" w14:textId="67B80330" w:rsidR="00F73CAC" w:rsidRDefault="00F73CAC" w:rsidP="00F73CAC">
      <w:pPr>
        <w:pStyle w:val="berschrift2"/>
      </w:pPr>
      <w:r>
        <w:t>Amine sind Basen</w:t>
      </w:r>
    </w:p>
    <w:p w14:paraId="195F3862" w14:textId="374A094D" w:rsidR="00F73CAC" w:rsidRDefault="00F73CAC" w:rsidP="00F73CAC">
      <w:r>
        <w:t>Durch das freie Elektronenpaar am Stickstoffatom können Protonen gebunden werden. Amine sind deshalb mehr oder weniger starke Basen.</w:t>
      </w:r>
    </w:p>
    <w:p w14:paraId="2E53A691" w14:textId="32C8FFED" w:rsidR="00F73CAC" w:rsidRDefault="00F73CAC" w:rsidP="00F73CAC">
      <w:r>
        <w:t>[ 3 ]</w:t>
      </w:r>
    </w:p>
    <w:p w14:paraId="640EF2C6" w14:textId="2C84814E" w:rsidR="00F73CAC" w:rsidRDefault="00F73CAC" w:rsidP="00F73CAC"/>
    <w:p w14:paraId="72614BF9" w14:textId="19AC89F8" w:rsidR="00F73CAC" w:rsidRDefault="00F73CAC" w:rsidP="00F73CAC"/>
    <w:p w14:paraId="0B35A1F9" w14:textId="23938DBF" w:rsidR="00F73CAC" w:rsidRDefault="00F73CAC" w:rsidP="00F73CAC"/>
    <w:p w14:paraId="6EB1AC61" w14:textId="05E24652" w:rsidR="00F73CAC" w:rsidRDefault="00F73CAC" w:rsidP="00F73CAC">
      <w:pPr>
        <w:pStyle w:val="berschrift2"/>
      </w:pPr>
      <w:r>
        <w:t>Wasserstoffbrückenbindung</w:t>
      </w:r>
    </w:p>
    <w:p w14:paraId="54B06678" w14:textId="3BF7BFE2" w:rsidR="00F73CAC" w:rsidRDefault="00F73CAC" w:rsidP="00F73CAC">
      <w:r>
        <w:t>Wiederum mit Alkoholen vergleichbar ist die Fähigkeit von Aminen, Wasserstoffbrücken auszubilden.</w:t>
      </w:r>
    </w:p>
    <w:p w14:paraId="2A891326" w14:textId="43E44997" w:rsidR="00F73CAC" w:rsidRDefault="00F73CAC" w:rsidP="00F73CAC">
      <w:r>
        <w:t>[ 4 ]</w:t>
      </w:r>
    </w:p>
    <w:p w14:paraId="27E7EC11" w14:textId="07580339" w:rsidR="00F73CAC" w:rsidRDefault="00F73CAC" w:rsidP="00F73CAC"/>
    <w:p w14:paraId="56805A47" w14:textId="151434F4" w:rsidR="00F73CAC" w:rsidRDefault="00F73CAC" w:rsidP="00F73CAC"/>
    <w:p w14:paraId="43404257" w14:textId="133DEB4F" w:rsidR="00F73CAC" w:rsidRDefault="00F73CAC" w:rsidP="00F73CAC"/>
    <w:p w14:paraId="4978F829" w14:textId="088C0789" w:rsidR="00F73CAC" w:rsidRDefault="00F73CAC" w:rsidP="00F73CAC">
      <w:pPr>
        <w:pStyle w:val="berschrift2"/>
      </w:pPr>
      <w:r>
        <w:t>Typische Eigenschaften</w:t>
      </w:r>
    </w:p>
    <w:p w14:paraId="7F09C8CA" w14:textId="3A66253D" w:rsidR="00F73CAC" w:rsidRDefault="00F73CAC" w:rsidP="00F73CAC">
      <w:r>
        <w:t xml:space="preserve">Typisch für Amine ist ihr charakteristischer, scharfer, ammoniakähnlicher, teilweise fischartiger Geruch. </w:t>
      </w:r>
    </w:p>
    <w:p w14:paraId="7BAF6B06" w14:textId="01E995EE" w:rsidR="00F73CAC" w:rsidRDefault="00F73CAC" w:rsidP="00F73CAC">
      <w:r>
        <w:t xml:space="preserve">Bei der Zersetzung von tierischem Eiweiß entsteht darüber hinaus der Stoff </w:t>
      </w:r>
      <w:r>
        <w:rPr>
          <w:b/>
        </w:rPr>
        <w:t>Cadaverin</w:t>
      </w:r>
      <w:r>
        <w:t xml:space="preserve"> (1,5-Diaminopentan), das den abartigen Verwesungsgeruch hervorruft.</w:t>
      </w:r>
    </w:p>
    <w:p w14:paraId="7929823B" w14:textId="0BC79222" w:rsidR="00F73CAC" w:rsidRDefault="00F73CAC" w:rsidP="00F73CAC">
      <w:r>
        <w:t>[ 5 ]</w:t>
      </w:r>
    </w:p>
    <w:p w14:paraId="023DDEE6" w14:textId="77777777" w:rsidR="00F73CAC" w:rsidRDefault="00F73CAC" w:rsidP="00F73CAC"/>
    <w:p w14:paraId="1D0DFCF7" w14:textId="02BB7181" w:rsidR="00F73CAC" w:rsidRDefault="00F73CAC" w:rsidP="00F73CAC">
      <w:pPr>
        <w:pStyle w:val="berschrift2"/>
      </w:pPr>
      <w:r>
        <w:t xml:space="preserve">Wichtige Vertreter </w:t>
      </w:r>
    </w:p>
    <w:p w14:paraId="697B29DA" w14:textId="07E890F7" w:rsidR="00F73CAC" w:rsidRDefault="005A6645" w:rsidP="005A6645">
      <w:r w:rsidRPr="00F73CAC">
        <w:rPr>
          <w:b/>
        </w:rPr>
        <w:t>1,6-Diaminohexan</w:t>
      </w:r>
      <w:r>
        <w:t xml:space="preserve"> – Ausgangsstoff für die Herstellung von Nylon</w:t>
      </w:r>
      <w:r>
        <w:br/>
        <w:t xml:space="preserve"> </w:t>
      </w:r>
      <w:r w:rsidR="00F73CAC">
        <w:t>[ 6 ]</w:t>
      </w:r>
    </w:p>
    <w:p w14:paraId="26EFEBB0" w14:textId="5D318C56" w:rsidR="00F73CAC" w:rsidRDefault="00F73CAC" w:rsidP="00F73CAC"/>
    <w:p w14:paraId="50E1B16F" w14:textId="7D60C244" w:rsidR="00F73CAC" w:rsidRDefault="00F73CAC" w:rsidP="00F73CAC"/>
    <w:p w14:paraId="45FADBE1" w14:textId="0D7A5D72" w:rsidR="005A6645" w:rsidRDefault="00F73CAC" w:rsidP="005A6645">
      <w:r w:rsidRPr="00F73CAC">
        <w:rPr>
          <w:b/>
        </w:rPr>
        <w:t>Anilin</w:t>
      </w:r>
      <w:r>
        <w:t xml:space="preserve"> (Benzenamin) – Ausgangsstoff für die Produktion von organischen </w:t>
      </w:r>
      <w:r w:rsidR="005A6645">
        <w:t>(Azo-)farben.</w:t>
      </w:r>
      <w:r w:rsidR="005A6645">
        <w:br/>
      </w:r>
      <w:r w:rsidR="005A6645">
        <w:t>[ 7 ]</w:t>
      </w:r>
    </w:p>
    <w:p w14:paraId="26978DAE" w14:textId="1F230229" w:rsidR="00F73CAC" w:rsidRDefault="00F73CAC" w:rsidP="00F73CAC"/>
    <w:p w14:paraId="1D16B058" w14:textId="0A77E475" w:rsidR="00F73CAC" w:rsidRDefault="00F73CAC" w:rsidP="00F73CAC"/>
    <w:p w14:paraId="029D4990" w14:textId="671BBBA1" w:rsidR="005A6645" w:rsidRDefault="00F73CAC" w:rsidP="005A6645">
      <w:r w:rsidRPr="00F73CAC">
        <w:rPr>
          <w:b/>
        </w:rPr>
        <w:t>EDTA</w:t>
      </w:r>
      <w:r>
        <w:t xml:space="preserve"> (Ethylendiamintetraessigsäure) – Komplexbildende zur maßanalytischen Bestimmung von vielen Kationen.</w:t>
      </w:r>
      <w:r w:rsidR="005A6645">
        <w:t xml:space="preserve"> </w:t>
      </w:r>
      <w:r w:rsidR="005A6645">
        <w:br/>
      </w:r>
      <w:r w:rsidR="005A6645">
        <w:t>[ 8 ]</w:t>
      </w:r>
    </w:p>
    <w:p w14:paraId="348410BB" w14:textId="2DF9F0AD" w:rsidR="00F73CAC" w:rsidRDefault="00F73CAC" w:rsidP="00F73CAC"/>
    <w:p w14:paraId="6892D784" w14:textId="6462C568" w:rsidR="005A6645" w:rsidRDefault="005A6645" w:rsidP="00F73CAC"/>
    <w:p w14:paraId="4474FDE5" w14:textId="5A013480" w:rsidR="005A6645" w:rsidRPr="00F73CAC" w:rsidRDefault="005A6645" w:rsidP="005A6645">
      <w:r w:rsidRPr="00F73CAC">
        <w:rPr>
          <w:b/>
        </w:rPr>
        <w:t>Amphetamine</w:t>
      </w:r>
      <w:r>
        <w:t xml:space="preserve"> – zu therapheutischen Zwecken entwickelt (Asthma, Depression, Appetitzügler)</w:t>
      </w:r>
      <w:r>
        <w:t>, durch die euphorisierende Wirkung kam es bald zum Medikamentenmissbrauch bzw. zu Suchtverhalten.</w:t>
      </w:r>
    </w:p>
    <w:p w14:paraId="2DBBA348" w14:textId="180EB5A5" w:rsidR="00F73CAC" w:rsidRDefault="00F73CAC" w:rsidP="00F73CAC">
      <w:r>
        <w:rPr>
          <w:noProof/>
          <w:lang w:eastAsia="de-AT"/>
        </w:rPr>
        <w:drawing>
          <wp:inline distT="0" distB="0" distL="0" distR="0" wp14:anchorId="16642220" wp14:editId="2DEA7EC9">
            <wp:extent cx="2654935" cy="1188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izz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3F81" w14:textId="5B1EC71B" w:rsidR="00F73CAC" w:rsidRPr="00F73CAC" w:rsidRDefault="00F73CAC" w:rsidP="00F73CAC">
      <w:pPr>
        <w:jc w:val="center"/>
        <w:rPr>
          <w:i/>
          <w:sz w:val="16"/>
          <w:szCs w:val="16"/>
          <w:lang w:val="en-US"/>
        </w:rPr>
      </w:pPr>
      <w:r w:rsidRPr="00F73CAC">
        <w:rPr>
          <w:i/>
          <w:sz w:val="16"/>
          <w:szCs w:val="16"/>
          <w:lang w:val="en-US"/>
        </w:rPr>
        <w:t>3,4-Methylendioxy-N-methylamphetamin (MDMA, Ecstacy)</w:t>
      </w:r>
    </w:p>
    <w:p w14:paraId="68D338AF" w14:textId="7B4800DE" w:rsidR="005A6645" w:rsidRDefault="005A6645" w:rsidP="005A6645">
      <w:pPr>
        <w:pStyle w:val="berschrift1"/>
      </w:pPr>
      <w:r>
        <w:t>Aminosäuren</w:t>
      </w:r>
    </w:p>
    <w:p w14:paraId="1576B02B" w14:textId="71CF5F5A" w:rsidR="005A6645" w:rsidRDefault="005A6645" w:rsidP="005A6645">
      <w:pPr>
        <w:rPr>
          <w:rFonts w:eastAsiaTheme="minorEastAsia"/>
        </w:rPr>
      </w:pPr>
      <w:r w:rsidRPr="00223C56">
        <w:rPr>
          <w:b/>
        </w:rPr>
        <w:t xml:space="preserve">Aminosäuren sind die Grundbausteine der Proteine und Peptide. </w:t>
      </w:r>
      <w:r>
        <w:t xml:space="preserve">Sie besitzen zwei so genannte funktionelle Gruppen, erstens die Aminogruppe </w:t>
      </w:r>
      <m:oMath>
        <m:r>
          <w:rPr>
            <w:rFonts w:ascii="Cambria Math" w:hAnsi="Cambria Math"/>
          </w:rPr>
          <m:t>-N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und zweitens die Carbonsäuregruppe </w:t>
      </w:r>
      <m:oMath>
        <m:r>
          <w:rPr>
            <w:rFonts w:ascii="Cambria Math" w:eastAsiaTheme="minorEastAsia" w:hAnsi="Cambria Math"/>
          </w:rPr>
          <m:t>-COOH</m:t>
        </m:r>
      </m:oMath>
      <w:r>
        <w:rPr>
          <w:rFonts w:eastAsiaTheme="minorEastAsia"/>
        </w:rPr>
        <w:t>.</w:t>
      </w:r>
    </w:p>
    <w:p w14:paraId="496F9000" w14:textId="69060F15" w:rsidR="005A6645" w:rsidRDefault="005A6645" w:rsidP="005A6645">
      <w:pPr>
        <w:rPr>
          <w:rFonts w:eastAsiaTheme="minorEastAsia"/>
        </w:rPr>
      </w:pPr>
      <w:r>
        <w:rPr>
          <w:rFonts w:eastAsiaTheme="minorEastAsia"/>
        </w:rPr>
        <w:t xml:space="preserve">Aminosäuren besitzen für organische Stoffe ungewöhnlich hohe Schmelzpunkte, manche Aminosäuren sind überhaupt nicht unzersetzt schmelzbar. </w:t>
      </w:r>
    </w:p>
    <w:p w14:paraId="720A2D50" w14:textId="77777777" w:rsidR="005A6645" w:rsidRDefault="005A6645" w:rsidP="005A6645">
      <w:pPr>
        <w:rPr>
          <w:rFonts w:eastAsiaTheme="minorEastAsia"/>
        </w:rPr>
      </w:pPr>
      <w:r>
        <w:rPr>
          <w:rFonts w:eastAsiaTheme="minorEastAsia"/>
        </w:rPr>
        <w:t xml:space="preserve">Der Grund dafür ist die </w:t>
      </w:r>
      <w:r>
        <w:rPr>
          <w:rFonts w:eastAsiaTheme="minorEastAsia"/>
          <w:b/>
        </w:rPr>
        <w:t>salzartige Struktur</w:t>
      </w:r>
      <w:r>
        <w:rPr>
          <w:rFonts w:eastAsiaTheme="minorEastAsia"/>
        </w:rPr>
        <w:t xml:space="preserve"> der Aminosäuren. Zwischen der basischen Aminogruppe und der sauren Carboxylatgruppe kommt es zu einer Protolysereaktion und damit großteils zu so genannten </w:t>
      </w:r>
      <w:r>
        <w:rPr>
          <w:rFonts w:eastAsiaTheme="minorEastAsia"/>
          <w:b/>
        </w:rPr>
        <w:t>Zwitterionen</w:t>
      </w:r>
      <w:r>
        <w:rPr>
          <w:rFonts w:eastAsiaTheme="minorEastAsia"/>
        </w:rPr>
        <w:t>.</w:t>
      </w:r>
    </w:p>
    <w:p w14:paraId="287D91F1" w14:textId="30F4BDAA" w:rsidR="00223C56" w:rsidRDefault="005A6645" w:rsidP="005A6645">
      <w:pPr>
        <w:rPr>
          <w:rFonts w:eastAsiaTheme="minorEastAsia"/>
        </w:rPr>
      </w:pPr>
      <w:r>
        <w:rPr>
          <w:noProof/>
          <w:lang w:eastAsia="de-AT"/>
        </w:rPr>
        <w:drawing>
          <wp:inline distT="0" distB="0" distL="0" distR="0" wp14:anchorId="3ED2975F" wp14:editId="0B7A827E">
            <wp:extent cx="2654935" cy="9239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</w:p>
    <w:p w14:paraId="355C4CA2" w14:textId="2393B2EC" w:rsidR="005A6645" w:rsidRDefault="00273B1D" w:rsidP="00273B1D">
      <w:pPr>
        <w:pStyle w:val="berschrift2"/>
      </w:pPr>
      <w:r>
        <w:lastRenderedPageBreak/>
        <w:t>Isoelektrischer Punkt</w:t>
      </w:r>
    </w:p>
    <w:p w14:paraId="7443BD88" w14:textId="384533F9" w:rsidR="00273B1D" w:rsidRDefault="00273B1D" w:rsidP="00273B1D">
      <w:r>
        <w:t xml:space="preserve">Aminosäuren sind aufgrund ihrer beiden Gruppierungen </w:t>
      </w:r>
      <w:r>
        <w:rPr>
          <w:b/>
        </w:rPr>
        <w:t>Puffersubstanzen</w:t>
      </w:r>
      <w:r>
        <w:t>, sie können sowohl basisch als auch sauer reagieren.</w:t>
      </w:r>
    </w:p>
    <w:p w14:paraId="51E7B92A" w14:textId="5B3E52C4" w:rsidR="00273B1D" w:rsidRDefault="00273B1D" w:rsidP="00273B1D">
      <w:r>
        <w:t>Im Sauren – Die Aminogruppe ist protoniert, die Aminosäure liegt als positiv geladenes Kation vor.</w:t>
      </w:r>
    </w:p>
    <w:p w14:paraId="00FA031F" w14:textId="3BE30B67" w:rsidR="00273B1D" w:rsidRDefault="00273B1D" w:rsidP="00273B1D">
      <w:r>
        <w:t>Im Basischen – Die Carboxylgruppe ist deprotoniert, die Aminosäure liegt als negativ geladenes Anion vor.</w:t>
      </w:r>
    </w:p>
    <w:p w14:paraId="1E129677" w14:textId="326D7C95" w:rsidR="00273B1D" w:rsidRDefault="00273B1D" w:rsidP="00273B1D">
      <w:r>
        <w:t xml:space="preserve">Bei einem von der jeweiligen Aminosäure abhängigen pH-Wert, den man den </w:t>
      </w:r>
      <w:r>
        <w:rPr>
          <w:b/>
        </w:rPr>
        <w:t>isoelektrischen Punkt</w:t>
      </w:r>
      <w:r>
        <w:t xml:space="preserve"> nennt, ist die Aminosäure auch in Lösung ein Zwitterion. Dieser Punkt ist zugleich der Puffer-pH Wert der Aminosäure. </w:t>
      </w:r>
    </w:p>
    <w:p w14:paraId="2D51309A" w14:textId="6942D8BD" w:rsidR="00273B1D" w:rsidRDefault="00273B1D" w:rsidP="00273B1D">
      <w:r>
        <w:t>Keinesfalls liegen Aminosäuren allerdings in der Form der unprotonierten Aminogruppe und der protonierten Säuregruppe vor.</w:t>
      </w:r>
    </w:p>
    <w:p w14:paraId="0996AA72" w14:textId="05626FD4" w:rsidR="007C28E7" w:rsidRDefault="007C28E7" w:rsidP="007C28E7">
      <w:pPr>
        <w:pStyle w:val="berschrift2"/>
      </w:pPr>
      <w:r>
        <w:t>Chiraltität der α-Aminosäuren</w:t>
      </w:r>
    </w:p>
    <w:p w14:paraId="0AAC7789" w14:textId="3C127D18" w:rsidR="007C28E7" w:rsidRDefault="007C28E7" w:rsidP="007C28E7">
      <w:r>
        <w:t>Als Bausteine der Proteine besitzen α-Aminosäuren ihre große Bedeutung.</w:t>
      </w:r>
      <w:r>
        <w:br/>
        <w:t>[ 9 ]</w:t>
      </w:r>
    </w:p>
    <w:p w14:paraId="2C55D5A4" w14:textId="73F1B8D6" w:rsidR="007C28E7" w:rsidRDefault="007C28E7" w:rsidP="007C28E7"/>
    <w:p w14:paraId="1B4CD5CB" w14:textId="6DB27D86" w:rsidR="007C28E7" w:rsidRDefault="007C28E7" w:rsidP="007C28E7"/>
    <w:p w14:paraId="73866108" w14:textId="478F679E" w:rsidR="007C28E7" w:rsidRDefault="007C28E7" w:rsidP="007C28E7">
      <w:r>
        <w:t>Die Aminogruppe befindet sich am ersten C-Atom neben der Carboxylgruppe..</w:t>
      </w:r>
    </w:p>
    <w:p w14:paraId="6386F1F0" w14:textId="6DADF60A" w:rsidR="007C28E7" w:rsidRDefault="007C28E7" w:rsidP="007C28E7">
      <w:r>
        <w:t>Bis auf die einfachste Aminosäure Glycin (R … Wasserstoff, H) sind alle α-Aminosäuren chiral, das asymmetrische Zentrum befindet sich genau am α-C-Atom.</w:t>
      </w:r>
    </w:p>
    <w:p w14:paraId="45C4D4D8" w14:textId="7379B59F" w:rsidR="007C28E7" w:rsidRDefault="007C28E7" w:rsidP="007C28E7">
      <w:bookmarkStart w:id="0" w:name="_GoBack"/>
      <w:r>
        <w:rPr>
          <w:noProof/>
          <w:lang w:eastAsia="de-AT"/>
        </w:rPr>
        <w:drawing>
          <wp:inline distT="0" distB="0" distL="0" distR="0" wp14:anchorId="48E33D81" wp14:editId="7A7BF723">
            <wp:extent cx="2654935" cy="11017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397CD7" w14:textId="450F16F8" w:rsidR="007C28E7" w:rsidRDefault="007C28E7" w:rsidP="007C28E7">
      <w:pPr>
        <w:pStyle w:val="berschrift1"/>
      </w:pPr>
      <w:r>
        <w:t>Amide</w:t>
      </w:r>
    </w:p>
    <w:p w14:paraId="6EF0F724" w14:textId="06AC0A63" w:rsidR="007C28E7" w:rsidRDefault="007C28E7" w:rsidP="007C28E7">
      <w:pPr>
        <w:rPr>
          <w:rFonts w:eastAsiaTheme="minorEastAsia"/>
        </w:rPr>
      </w:pPr>
      <w:r>
        <w:t xml:space="preserve">Amide sind Derivate der Carbonsäuren. Die </w:t>
      </w:r>
      <m:oMath>
        <m:r>
          <w:rPr>
            <w:rFonts w:ascii="Cambria Math" w:hAnsi="Cambria Math"/>
          </w:rPr>
          <m:t>-OH</m:t>
        </m:r>
      </m:oMath>
      <w:r>
        <w:rPr>
          <w:rFonts w:eastAsiaTheme="minorEastAsia"/>
        </w:rPr>
        <w:t xml:space="preserve"> Gruppe ist durch die </w:t>
      </w:r>
      <m:oMath>
        <m:r>
          <w:rPr>
            <w:rFonts w:ascii="Cambria Math" w:eastAsiaTheme="minorEastAsia" w:hAnsi="Cambria Math"/>
          </w:rPr>
          <m:t>-N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Gruppe ersetzt.</w:t>
      </w:r>
    </w:p>
    <w:p w14:paraId="11172779" w14:textId="1EDB4444" w:rsidR="007C28E7" w:rsidRDefault="007C28E7" w:rsidP="007C28E7">
      <w:pPr>
        <w:rPr>
          <w:rFonts w:eastAsiaTheme="minorEastAsia"/>
        </w:rPr>
      </w:pPr>
      <w:r>
        <w:rPr>
          <w:rFonts w:eastAsiaTheme="minorEastAsia"/>
        </w:rPr>
        <w:t xml:space="preserve">Das berühmteste Amid ist ein </w:t>
      </w:r>
      <w:r>
        <w:rPr>
          <w:rFonts w:eastAsiaTheme="minorEastAsia"/>
          <w:b/>
        </w:rPr>
        <w:t>Diamid der Kohlensäure</w:t>
      </w:r>
      <w:r w:rsidR="004B7363">
        <w:rPr>
          <w:rFonts w:eastAsiaTheme="minorEastAsia"/>
        </w:rPr>
        <w:t>, Harnstoff.</w:t>
      </w:r>
    </w:p>
    <w:p w14:paraId="7CD9D623" w14:textId="5E84E939" w:rsidR="004B7363" w:rsidRDefault="004B7363" w:rsidP="007C28E7">
      <w:r>
        <w:rPr>
          <w:noProof/>
          <w:lang w:eastAsia="de-AT"/>
        </w:rPr>
        <w:drawing>
          <wp:inline distT="0" distB="0" distL="0" distR="0" wp14:anchorId="58AFE492" wp14:editId="103BBB16">
            <wp:extent cx="2654935" cy="10179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A8A5" w14:textId="6F35DF0B" w:rsidR="004B7363" w:rsidRDefault="004B7363" w:rsidP="007C28E7">
      <w:r>
        <w:t xml:space="preserve">Harnstoff ist geschichtlich die erste organische Verbindung, die (von Friedrich Wöhler ca. 1825) synthetisiert werden konnte. Heute werden jährlich </w:t>
      </w:r>
      <w:r>
        <w:t>etwa 180 Mio. Tonnen hergestellt. Harnstoff wird als Düngemittel und als Grundstoff für die Kunststoffherstellung verwendet.</w:t>
      </w:r>
    </w:p>
    <w:p w14:paraId="00BAA695" w14:textId="6821BE49" w:rsidR="004B7363" w:rsidRDefault="004B7363" w:rsidP="004B7363">
      <w:pPr>
        <w:pStyle w:val="berschrift2"/>
      </w:pPr>
      <w:r>
        <w:t>Lactame</w:t>
      </w:r>
    </w:p>
    <w:p w14:paraId="367D7A32" w14:textId="32499B66" w:rsidR="004B7363" w:rsidRDefault="004B7363" w:rsidP="004B7363">
      <w:r>
        <w:t xml:space="preserve">Aminosäuren können bei geeignetem Abstand zwischen Säure und Aminogruppe (nämlich einer zweiten, nicht der α-Aminogruppe) unter Wasserabspaltung cyclische Amide bilden. </w:t>
      </w:r>
    </w:p>
    <w:p w14:paraId="660C9192" w14:textId="6630634B" w:rsidR="004B7363" w:rsidRDefault="004B7363" w:rsidP="004B7363">
      <w:r>
        <w:rPr>
          <w:noProof/>
          <w:lang w:eastAsia="de-AT"/>
        </w:rPr>
        <w:drawing>
          <wp:inline distT="0" distB="0" distL="0" distR="0" wp14:anchorId="0D2BB122" wp14:editId="5F3EECC1">
            <wp:extent cx="2654935" cy="1085353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180" cy="10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379C" w14:textId="77777777" w:rsidR="00B65B3F" w:rsidRDefault="00450992" w:rsidP="00450992">
      <w:pPr>
        <w:jc w:val="center"/>
      </w:pPr>
      <w:r w:rsidRPr="00450992">
        <w:rPr>
          <w:i/>
        </w:rPr>
        <w:t>Aus ε-Aminohexansäure wird ε-Caprolactam</w:t>
      </w:r>
      <w:r w:rsidR="00B65B3F" w:rsidRPr="00B65B3F">
        <w:t xml:space="preserve"> </w:t>
      </w:r>
    </w:p>
    <w:p w14:paraId="695E2A7B" w14:textId="3ACE9202" w:rsidR="00450992" w:rsidRPr="00450992" w:rsidRDefault="00B65B3F" w:rsidP="00B65B3F">
      <w:pPr>
        <w:rPr>
          <w:i/>
        </w:rPr>
      </w:pPr>
      <w:r>
        <w:t xml:space="preserve">Diese Verbindungen bezeichnet man als </w:t>
      </w:r>
      <w:r>
        <w:rPr>
          <w:b/>
        </w:rPr>
        <w:t>Lactame</w:t>
      </w:r>
      <w:r>
        <w:t>.</w:t>
      </w:r>
    </w:p>
    <w:p w14:paraId="6F2C221A" w14:textId="3B92AB00" w:rsidR="00450992" w:rsidRDefault="00450992" w:rsidP="00450992">
      <w:pPr>
        <w:pStyle w:val="berschrift1"/>
      </w:pPr>
      <w:r>
        <w:t>Nitroverbindungen</w:t>
      </w:r>
    </w:p>
    <w:p w14:paraId="24E307B8" w14:textId="065D0121" w:rsidR="00450992" w:rsidRDefault="00450992" w:rsidP="00450992">
      <w:pPr>
        <w:rPr>
          <w:rFonts w:eastAsiaTheme="minorEastAsia"/>
        </w:rPr>
      </w:pPr>
      <w:r>
        <w:t xml:space="preserve">Nitroverbindungen enthalten die so genannte Nitrogruppe </w:t>
      </w:r>
      <m:oMath>
        <m:r>
          <w:rPr>
            <w:rFonts w:ascii="Cambria Math" w:hAnsi="Cambria Math"/>
          </w:rPr>
          <m:t>-N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>, die direkt an ein C-Atom gebunden ist.</w:t>
      </w:r>
      <w:r w:rsidR="00B65B3F">
        <w:rPr>
          <w:rFonts w:eastAsiaTheme="minorEastAsia"/>
        </w:rPr>
        <w:t xml:space="preserve"> </w:t>
      </w:r>
      <w:r>
        <w:rPr>
          <w:rFonts w:eastAsiaTheme="minorEastAsia"/>
        </w:rPr>
        <w:t xml:space="preserve">Viele Verbindungen dieser Stoffklasse sind wichtige Sprengstoffe. </w:t>
      </w:r>
    </w:p>
    <w:p w14:paraId="39010862" w14:textId="0786E86A" w:rsidR="00B65B3F" w:rsidRDefault="00B65B3F" w:rsidP="00450992">
      <w:pPr>
        <w:rPr>
          <w:rFonts w:eastAsiaTheme="minorEastAsia"/>
        </w:rPr>
      </w:pPr>
      <w:r>
        <w:rPr>
          <w:rFonts w:eastAsiaTheme="minorEastAsia"/>
        </w:rPr>
        <w:t>Die Explosionskraft entsteht durch die Kombination der exothermen Reaktion, dem intramolekularen Vorhandensein von Brennstoff (</w:t>
      </w:r>
      <m:oMath>
        <m:r>
          <w:rPr>
            <w:rFonts w:ascii="Cambria Math" w:eastAsiaTheme="minorEastAsia" w:hAnsi="Cambria Math"/>
          </w:rPr>
          <m:t>-C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</w:rPr>
        <w:t>) und Brandbeschleuniger (</w:t>
      </w:r>
      <m:oMath>
        <m:r>
          <w:rPr>
            <w:rFonts w:ascii="Cambria Math" w:eastAsiaTheme="minorEastAsia" w:hAnsi="Cambria Math"/>
          </w:rPr>
          <m:t>-N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) und den bei der Reaktion entstehenden gasförmigen Produkten aus Sauerstoff und Stickstoff.</w:t>
      </w:r>
    </w:p>
    <w:p w14:paraId="2E709BBE" w14:textId="37F97AD6" w:rsidR="00450992" w:rsidRDefault="00450992" w:rsidP="00450992">
      <w:pPr>
        <w:pStyle w:val="berschrift2"/>
      </w:pPr>
      <w:r>
        <w:t>Wichtige Vertreter</w:t>
      </w:r>
    </w:p>
    <w:p w14:paraId="78EA2C7F" w14:textId="7BFE2F07" w:rsidR="00450992" w:rsidRDefault="00450992" w:rsidP="00450992">
      <w:r w:rsidRPr="00450992">
        <w:rPr>
          <w:b/>
        </w:rPr>
        <w:t>TNT</w:t>
      </w:r>
      <w:r>
        <w:t xml:space="preserve"> (Trinitrotoluen) – ist stoßunempflindlich und dadurch leicht zu handhaben.</w:t>
      </w:r>
    </w:p>
    <w:p w14:paraId="300A2834" w14:textId="0B9D6EBA" w:rsidR="00450992" w:rsidRDefault="00450992" w:rsidP="00450992">
      <w:r>
        <w:t>[ 10 ]</w:t>
      </w:r>
    </w:p>
    <w:p w14:paraId="31AD9BDB" w14:textId="6C40E291" w:rsidR="00450992" w:rsidRDefault="00450992" w:rsidP="00450992"/>
    <w:p w14:paraId="1040D5DB" w14:textId="205235E2" w:rsidR="00450992" w:rsidRDefault="00B65B3F" w:rsidP="00450992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68B931E" wp14:editId="0CE9DF2B">
            <wp:simplePos x="0" y="0"/>
            <wp:positionH relativeFrom="margin">
              <wp:align>right</wp:align>
            </wp:positionH>
            <wp:positionV relativeFrom="paragraph">
              <wp:posOffset>4307</wp:posOffset>
            </wp:positionV>
            <wp:extent cx="1351280" cy="567055"/>
            <wp:effectExtent l="0" t="0" r="1270" b="444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3912F" w14:textId="1B016A28" w:rsidR="00450992" w:rsidRDefault="00450992" w:rsidP="00450992">
      <w:r w:rsidRPr="00450992">
        <w:rPr>
          <w:b/>
        </w:rPr>
        <w:t>Hexogen</w:t>
      </w:r>
      <w:r>
        <w:t xml:space="preserve"> – Einsatz in Granaten und Minen</w:t>
      </w:r>
      <w:r>
        <w:br/>
      </w:r>
    </w:p>
    <w:p w14:paraId="17F9B9AA" w14:textId="6A5E7BAF" w:rsidR="00450992" w:rsidRDefault="00450992" w:rsidP="00450992">
      <w:pPr>
        <w:pStyle w:val="berschrift1"/>
      </w:pPr>
      <w:r>
        <w:t>Salpetersäure</w:t>
      </w:r>
      <w:r w:rsidR="00B65B3F">
        <w:t>ester</w:t>
      </w:r>
    </w:p>
    <w:p w14:paraId="24F739FB" w14:textId="54154926" w:rsidR="00450992" w:rsidRDefault="00450992" w:rsidP="00450992">
      <w:r>
        <w:t>Alkohole können mit Salpetersäure Ester bilden.</w:t>
      </w:r>
    </w:p>
    <w:p w14:paraId="4FA408C7" w14:textId="032333B7" w:rsidR="00B65B3F" w:rsidRDefault="00B65B3F" w:rsidP="00450992">
      <w:r>
        <w:rPr>
          <w:noProof/>
          <w:lang w:eastAsia="de-AT"/>
        </w:rPr>
        <w:drawing>
          <wp:inline distT="0" distB="0" distL="0" distR="0" wp14:anchorId="35CC8F7A" wp14:editId="7926D841">
            <wp:extent cx="2654935" cy="5778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A4B5" w14:textId="46F5ECE3" w:rsidR="00B65B3F" w:rsidRPr="00450992" w:rsidRDefault="00B65B3F" w:rsidP="00450992">
      <w:r>
        <w:t xml:space="preserve">Wichtige Vertreter sind wiederum Spreng- und Explosivstoffe und sind bekannt unter </w:t>
      </w:r>
      <w:r w:rsidRPr="00B65B3F">
        <w:rPr>
          <w:b/>
        </w:rPr>
        <w:t>Nitroglycerin</w:t>
      </w:r>
      <w:r>
        <w:t xml:space="preserve"> (Glyceroltrinitrat) und </w:t>
      </w:r>
      <w:r w:rsidRPr="00B65B3F">
        <w:rPr>
          <w:b/>
        </w:rPr>
        <w:t>Nitropenta</w:t>
      </w:r>
      <w:r>
        <w:t xml:space="preserve"> (Pentaerithryttetranitrat) oder </w:t>
      </w:r>
      <w:r w:rsidRPr="00B65B3F">
        <w:rPr>
          <w:b/>
        </w:rPr>
        <w:t>Schießbaumwolle</w:t>
      </w:r>
      <w:r>
        <w:t xml:space="preserve"> (Nitrocellulose).</w:t>
      </w:r>
    </w:p>
    <w:sectPr w:rsidR="00B65B3F" w:rsidRPr="00450992" w:rsidSect="00E07FCE">
      <w:headerReference w:type="default" r:id="rId15"/>
      <w:type w:val="continuous"/>
      <w:pgSz w:w="11906" w:h="16838"/>
      <w:pgMar w:top="1871" w:right="1417" w:bottom="426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032E1" w14:textId="77777777" w:rsidR="004A4D71" w:rsidRDefault="004A4D71" w:rsidP="00BB5C84">
      <w:r>
        <w:separator/>
      </w:r>
    </w:p>
  </w:endnote>
  <w:endnote w:type="continuationSeparator" w:id="0">
    <w:p w14:paraId="4CDD9874" w14:textId="77777777" w:rsidR="004A4D71" w:rsidRDefault="004A4D71" w:rsidP="00BB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ulandFontEuro">
    <w:altName w:val="NeulandFont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37A24" w14:textId="77777777" w:rsidR="004A4D71" w:rsidRDefault="004A4D71" w:rsidP="00BB5C84">
      <w:r>
        <w:separator/>
      </w:r>
    </w:p>
  </w:footnote>
  <w:footnote w:type="continuationSeparator" w:id="0">
    <w:p w14:paraId="2776F994" w14:textId="77777777" w:rsidR="004A4D71" w:rsidRDefault="004A4D71" w:rsidP="00BB5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0230F" w14:textId="77777777" w:rsidR="00901BE6" w:rsidRDefault="00901BE6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noProof/>
        <w:lang w:val="de-DE" w:eastAsia="de-DE"/>
      </w:rPr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05146372" wp14:editId="7A37BE2A">
          <wp:simplePos x="0" y="0"/>
          <wp:positionH relativeFrom="margin">
            <wp:posOffset>5257800</wp:posOffset>
          </wp:positionH>
          <wp:positionV relativeFrom="margin">
            <wp:posOffset>-800100</wp:posOffset>
          </wp:positionV>
          <wp:extent cx="835660" cy="786357"/>
          <wp:effectExtent l="0" t="0" r="0" b="1270"/>
          <wp:wrapNone/>
          <wp:docPr id="4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_bur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660" cy="786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t>Chemie – 8. Klasse</w:t>
    </w:r>
  </w:p>
  <w:p w14:paraId="15ADB518" w14:textId="402B75A0" w:rsidR="00901BE6" w:rsidRPr="00C90639" w:rsidRDefault="00986661" w:rsidP="002B762D">
    <w:pPr>
      <w:pStyle w:val="Kopfzeile"/>
      <w:pBdr>
        <w:bottom w:val="single" w:sz="4" w:space="1" w:color="auto"/>
      </w:pBdr>
      <w:tabs>
        <w:tab w:val="clear" w:pos="9072"/>
      </w:tabs>
      <w:ind w:right="1275"/>
      <w:rPr>
        <w:b/>
      </w:rPr>
    </w:pPr>
    <w:r>
      <w:rPr>
        <w:rStyle w:val="TitelZchn"/>
      </w:rPr>
      <w:t>Stickstoffverbindungen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51.05pt;height:45.1pt;visibility:visible" o:bullet="t">
        <v:imagedata r:id="rId1" o:title=""/>
      </v:shape>
    </w:pict>
  </w:numPicBullet>
  <w:abstractNum w:abstractNumId="0" w15:restartNumberingAfterBreak="0">
    <w:nsid w:val="05594798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A1ABD"/>
    <w:multiLevelType w:val="hybridMultilevel"/>
    <w:tmpl w:val="E5BC1F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D41F4"/>
    <w:multiLevelType w:val="hybridMultilevel"/>
    <w:tmpl w:val="F942F8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34D55"/>
    <w:multiLevelType w:val="hybridMultilevel"/>
    <w:tmpl w:val="535A2FE8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21250A"/>
    <w:multiLevelType w:val="hybridMultilevel"/>
    <w:tmpl w:val="DB82BD24"/>
    <w:lvl w:ilvl="0" w:tplc="3D9C02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218B"/>
    <w:multiLevelType w:val="hybridMultilevel"/>
    <w:tmpl w:val="834EBE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10FA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D7A49"/>
    <w:multiLevelType w:val="hybridMultilevel"/>
    <w:tmpl w:val="479EF0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82F3E"/>
    <w:multiLevelType w:val="hybridMultilevel"/>
    <w:tmpl w:val="2FDA2A58"/>
    <w:lvl w:ilvl="0" w:tplc="863891B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B0326"/>
    <w:multiLevelType w:val="hybridMultilevel"/>
    <w:tmpl w:val="0BF633A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B6AC4"/>
    <w:multiLevelType w:val="hybridMultilevel"/>
    <w:tmpl w:val="E3829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A081E"/>
    <w:multiLevelType w:val="hybridMultilevel"/>
    <w:tmpl w:val="6052975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62748"/>
    <w:multiLevelType w:val="hybridMultilevel"/>
    <w:tmpl w:val="4D960276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F7787"/>
    <w:multiLevelType w:val="hybridMultilevel"/>
    <w:tmpl w:val="9D7AF4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3117F"/>
    <w:multiLevelType w:val="hybridMultilevel"/>
    <w:tmpl w:val="6EF64494"/>
    <w:lvl w:ilvl="0" w:tplc="EEC24370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67694"/>
    <w:multiLevelType w:val="hybridMultilevel"/>
    <w:tmpl w:val="CC24285C"/>
    <w:lvl w:ilvl="0" w:tplc="477EF9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003A0"/>
    <w:multiLevelType w:val="hybridMultilevel"/>
    <w:tmpl w:val="63EE20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3489"/>
    <w:multiLevelType w:val="hybridMultilevel"/>
    <w:tmpl w:val="54141E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A93244"/>
    <w:multiLevelType w:val="hybridMultilevel"/>
    <w:tmpl w:val="2940F4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D530C"/>
    <w:multiLevelType w:val="hybridMultilevel"/>
    <w:tmpl w:val="D4AED73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26AB8"/>
    <w:multiLevelType w:val="hybridMultilevel"/>
    <w:tmpl w:val="9C841642"/>
    <w:lvl w:ilvl="0" w:tplc="890C27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903D5"/>
    <w:multiLevelType w:val="hybridMultilevel"/>
    <w:tmpl w:val="581825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47000B"/>
    <w:multiLevelType w:val="hybridMultilevel"/>
    <w:tmpl w:val="B0760B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33083"/>
    <w:multiLevelType w:val="hybridMultilevel"/>
    <w:tmpl w:val="87BA8992"/>
    <w:lvl w:ilvl="0" w:tplc="0C07000F">
      <w:start w:val="1"/>
      <w:numFmt w:val="decimal"/>
      <w:lvlText w:val="%1."/>
      <w:lvlJc w:val="left"/>
      <w:pPr>
        <w:ind w:left="760" w:hanging="360"/>
      </w:pPr>
    </w:lvl>
    <w:lvl w:ilvl="1" w:tplc="0C070019" w:tentative="1">
      <w:start w:val="1"/>
      <w:numFmt w:val="lowerLetter"/>
      <w:lvlText w:val="%2."/>
      <w:lvlJc w:val="left"/>
      <w:pPr>
        <w:ind w:left="1480" w:hanging="360"/>
      </w:pPr>
    </w:lvl>
    <w:lvl w:ilvl="2" w:tplc="0C07001B" w:tentative="1">
      <w:start w:val="1"/>
      <w:numFmt w:val="lowerRoman"/>
      <w:lvlText w:val="%3."/>
      <w:lvlJc w:val="right"/>
      <w:pPr>
        <w:ind w:left="2200" w:hanging="180"/>
      </w:pPr>
    </w:lvl>
    <w:lvl w:ilvl="3" w:tplc="0C07000F" w:tentative="1">
      <w:start w:val="1"/>
      <w:numFmt w:val="decimal"/>
      <w:lvlText w:val="%4."/>
      <w:lvlJc w:val="left"/>
      <w:pPr>
        <w:ind w:left="2920" w:hanging="360"/>
      </w:pPr>
    </w:lvl>
    <w:lvl w:ilvl="4" w:tplc="0C070019" w:tentative="1">
      <w:start w:val="1"/>
      <w:numFmt w:val="lowerLetter"/>
      <w:lvlText w:val="%5."/>
      <w:lvlJc w:val="left"/>
      <w:pPr>
        <w:ind w:left="3640" w:hanging="360"/>
      </w:pPr>
    </w:lvl>
    <w:lvl w:ilvl="5" w:tplc="0C07001B" w:tentative="1">
      <w:start w:val="1"/>
      <w:numFmt w:val="lowerRoman"/>
      <w:lvlText w:val="%6."/>
      <w:lvlJc w:val="right"/>
      <w:pPr>
        <w:ind w:left="4360" w:hanging="180"/>
      </w:pPr>
    </w:lvl>
    <w:lvl w:ilvl="6" w:tplc="0C07000F" w:tentative="1">
      <w:start w:val="1"/>
      <w:numFmt w:val="decimal"/>
      <w:lvlText w:val="%7."/>
      <w:lvlJc w:val="left"/>
      <w:pPr>
        <w:ind w:left="5080" w:hanging="360"/>
      </w:pPr>
    </w:lvl>
    <w:lvl w:ilvl="7" w:tplc="0C070019" w:tentative="1">
      <w:start w:val="1"/>
      <w:numFmt w:val="lowerLetter"/>
      <w:lvlText w:val="%8."/>
      <w:lvlJc w:val="left"/>
      <w:pPr>
        <w:ind w:left="5800" w:hanging="360"/>
      </w:pPr>
    </w:lvl>
    <w:lvl w:ilvl="8" w:tplc="0C07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3"/>
  </w:num>
  <w:num w:numId="2">
    <w:abstractNumId w:val="2"/>
  </w:num>
  <w:num w:numId="3">
    <w:abstractNumId w:val="22"/>
  </w:num>
  <w:num w:numId="4">
    <w:abstractNumId w:val="6"/>
  </w:num>
  <w:num w:numId="5">
    <w:abstractNumId w:val="0"/>
  </w:num>
  <w:num w:numId="6">
    <w:abstractNumId w:val="19"/>
  </w:num>
  <w:num w:numId="7">
    <w:abstractNumId w:val="9"/>
  </w:num>
  <w:num w:numId="8">
    <w:abstractNumId w:val="20"/>
  </w:num>
  <w:num w:numId="9">
    <w:abstractNumId w:val="8"/>
  </w:num>
  <w:num w:numId="10">
    <w:abstractNumId w:val="14"/>
  </w:num>
  <w:num w:numId="11">
    <w:abstractNumId w:val="4"/>
  </w:num>
  <w:num w:numId="12">
    <w:abstractNumId w:val="16"/>
  </w:num>
  <w:num w:numId="13">
    <w:abstractNumId w:val="10"/>
  </w:num>
  <w:num w:numId="14">
    <w:abstractNumId w:val="5"/>
  </w:num>
  <w:num w:numId="15">
    <w:abstractNumId w:val="11"/>
  </w:num>
  <w:num w:numId="16">
    <w:abstractNumId w:val="3"/>
  </w:num>
  <w:num w:numId="17">
    <w:abstractNumId w:val="12"/>
  </w:num>
  <w:num w:numId="18">
    <w:abstractNumId w:val="15"/>
  </w:num>
  <w:num w:numId="19">
    <w:abstractNumId w:val="17"/>
  </w:num>
  <w:num w:numId="20">
    <w:abstractNumId w:val="1"/>
  </w:num>
  <w:num w:numId="21">
    <w:abstractNumId w:val="21"/>
  </w:num>
  <w:num w:numId="22">
    <w:abstractNumId w:val="7"/>
  </w:num>
  <w:num w:numId="23">
    <w:abstractNumId w:val="18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39"/>
    <w:rsid w:val="00002F48"/>
    <w:rsid w:val="00004DA7"/>
    <w:rsid w:val="00024262"/>
    <w:rsid w:val="00034820"/>
    <w:rsid w:val="00034E38"/>
    <w:rsid w:val="00042D99"/>
    <w:rsid w:val="0005507C"/>
    <w:rsid w:val="000570FF"/>
    <w:rsid w:val="00066FF3"/>
    <w:rsid w:val="000732DF"/>
    <w:rsid w:val="00074A66"/>
    <w:rsid w:val="0008408C"/>
    <w:rsid w:val="000A4E29"/>
    <w:rsid w:val="000A55C0"/>
    <w:rsid w:val="000B0747"/>
    <w:rsid w:val="000D2C3A"/>
    <w:rsid w:val="000E3C89"/>
    <w:rsid w:val="000F73F3"/>
    <w:rsid w:val="001009C1"/>
    <w:rsid w:val="00101C88"/>
    <w:rsid w:val="0010502C"/>
    <w:rsid w:val="00110D73"/>
    <w:rsid w:val="0011336E"/>
    <w:rsid w:val="0014021A"/>
    <w:rsid w:val="001415A4"/>
    <w:rsid w:val="00152F85"/>
    <w:rsid w:val="00161E4E"/>
    <w:rsid w:val="001841A3"/>
    <w:rsid w:val="001A4474"/>
    <w:rsid w:val="001A5040"/>
    <w:rsid w:val="001B18B5"/>
    <w:rsid w:val="001C38AF"/>
    <w:rsid w:val="001D5AE5"/>
    <w:rsid w:val="001E1415"/>
    <w:rsid w:val="001F263E"/>
    <w:rsid w:val="001F6785"/>
    <w:rsid w:val="00223C56"/>
    <w:rsid w:val="00231D4B"/>
    <w:rsid w:val="002369E0"/>
    <w:rsid w:val="00257563"/>
    <w:rsid w:val="00273B1D"/>
    <w:rsid w:val="00280A72"/>
    <w:rsid w:val="00294111"/>
    <w:rsid w:val="002B1F1F"/>
    <w:rsid w:val="002B762D"/>
    <w:rsid w:val="002D4B7E"/>
    <w:rsid w:val="002F6E6F"/>
    <w:rsid w:val="00304711"/>
    <w:rsid w:val="00304F58"/>
    <w:rsid w:val="00316F75"/>
    <w:rsid w:val="003211FA"/>
    <w:rsid w:val="003405FD"/>
    <w:rsid w:val="00340A29"/>
    <w:rsid w:val="00343EB9"/>
    <w:rsid w:val="00354EDC"/>
    <w:rsid w:val="00361592"/>
    <w:rsid w:val="003627A9"/>
    <w:rsid w:val="00372365"/>
    <w:rsid w:val="00373135"/>
    <w:rsid w:val="00375953"/>
    <w:rsid w:val="00385CEA"/>
    <w:rsid w:val="003C1D21"/>
    <w:rsid w:val="003C3FE4"/>
    <w:rsid w:val="003C6B26"/>
    <w:rsid w:val="003E4A38"/>
    <w:rsid w:val="003F0A7A"/>
    <w:rsid w:val="003F1268"/>
    <w:rsid w:val="003F600D"/>
    <w:rsid w:val="003F7AE0"/>
    <w:rsid w:val="00405C9A"/>
    <w:rsid w:val="00406183"/>
    <w:rsid w:val="0042624D"/>
    <w:rsid w:val="00426B68"/>
    <w:rsid w:val="00433780"/>
    <w:rsid w:val="00435E2C"/>
    <w:rsid w:val="004474AA"/>
    <w:rsid w:val="00447F4F"/>
    <w:rsid w:val="00450992"/>
    <w:rsid w:val="00474423"/>
    <w:rsid w:val="00480523"/>
    <w:rsid w:val="004840FF"/>
    <w:rsid w:val="004857E3"/>
    <w:rsid w:val="00490D72"/>
    <w:rsid w:val="004A4D71"/>
    <w:rsid w:val="004B7363"/>
    <w:rsid w:val="004D2B2F"/>
    <w:rsid w:val="004E268C"/>
    <w:rsid w:val="004E3DF8"/>
    <w:rsid w:val="004E55EB"/>
    <w:rsid w:val="004F1861"/>
    <w:rsid w:val="00511A67"/>
    <w:rsid w:val="00514D0B"/>
    <w:rsid w:val="00527FA7"/>
    <w:rsid w:val="005308C7"/>
    <w:rsid w:val="005374E2"/>
    <w:rsid w:val="00552297"/>
    <w:rsid w:val="00555093"/>
    <w:rsid w:val="00594C4B"/>
    <w:rsid w:val="00597287"/>
    <w:rsid w:val="005A05D0"/>
    <w:rsid w:val="005A3E37"/>
    <w:rsid w:val="005A6645"/>
    <w:rsid w:val="005C1B0F"/>
    <w:rsid w:val="005C20F9"/>
    <w:rsid w:val="005C25B9"/>
    <w:rsid w:val="005C27A5"/>
    <w:rsid w:val="005C5FBD"/>
    <w:rsid w:val="005F5540"/>
    <w:rsid w:val="005F77F2"/>
    <w:rsid w:val="0062522C"/>
    <w:rsid w:val="006328CD"/>
    <w:rsid w:val="006403ED"/>
    <w:rsid w:val="00655728"/>
    <w:rsid w:val="0066300F"/>
    <w:rsid w:val="00664776"/>
    <w:rsid w:val="00684E74"/>
    <w:rsid w:val="006901A3"/>
    <w:rsid w:val="00697293"/>
    <w:rsid w:val="006A2B41"/>
    <w:rsid w:val="006A3FE7"/>
    <w:rsid w:val="006B22D3"/>
    <w:rsid w:val="006B24C0"/>
    <w:rsid w:val="006C3761"/>
    <w:rsid w:val="006C3868"/>
    <w:rsid w:val="006D4257"/>
    <w:rsid w:val="00701C33"/>
    <w:rsid w:val="00733916"/>
    <w:rsid w:val="00742471"/>
    <w:rsid w:val="00746220"/>
    <w:rsid w:val="00773191"/>
    <w:rsid w:val="00781BE0"/>
    <w:rsid w:val="007862CC"/>
    <w:rsid w:val="0079147F"/>
    <w:rsid w:val="007B44B3"/>
    <w:rsid w:val="007C28E7"/>
    <w:rsid w:val="007C59EF"/>
    <w:rsid w:val="007D4EFF"/>
    <w:rsid w:val="007F05A0"/>
    <w:rsid w:val="007F1BA4"/>
    <w:rsid w:val="007F43D6"/>
    <w:rsid w:val="00800B24"/>
    <w:rsid w:val="00802CE2"/>
    <w:rsid w:val="008071F8"/>
    <w:rsid w:val="0082575A"/>
    <w:rsid w:val="00857663"/>
    <w:rsid w:val="008610EF"/>
    <w:rsid w:val="00870F82"/>
    <w:rsid w:val="00882E29"/>
    <w:rsid w:val="008C19F1"/>
    <w:rsid w:val="008C4BEC"/>
    <w:rsid w:val="008C70AF"/>
    <w:rsid w:val="008D36EF"/>
    <w:rsid w:val="008D5DF2"/>
    <w:rsid w:val="008F0A7C"/>
    <w:rsid w:val="008F6A24"/>
    <w:rsid w:val="00901BE6"/>
    <w:rsid w:val="00903656"/>
    <w:rsid w:val="0091401E"/>
    <w:rsid w:val="00927E6C"/>
    <w:rsid w:val="00945F5C"/>
    <w:rsid w:val="00951599"/>
    <w:rsid w:val="00957270"/>
    <w:rsid w:val="00986661"/>
    <w:rsid w:val="00990A9D"/>
    <w:rsid w:val="009930A3"/>
    <w:rsid w:val="0099443D"/>
    <w:rsid w:val="009A20CA"/>
    <w:rsid w:val="009D2499"/>
    <w:rsid w:val="009D5174"/>
    <w:rsid w:val="009E3A5B"/>
    <w:rsid w:val="009E607E"/>
    <w:rsid w:val="00A0326E"/>
    <w:rsid w:val="00A04F2F"/>
    <w:rsid w:val="00A46AA2"/>
    <w:rsid w:val="00A5304D"/>
    <w:rsid w:val="00A53E01"/>
    <w:rsid w:val="00A62408"/>
    <w:rsid w:val="00A8035C"/>
    <w:rsid w:val="00A8420A"/>
    <w:rsid w:val="00AA6BBB"/>
    <w:rsid w:val="00AE7EBE"/>
    <w:rsid w:val="00B05879"/>
    <w:rsid w:val="00B05C33"/>
    <w:rsid w:val="00B43D3C"/>
    <w:rsid w:val="00B65B3F"/>
    <w:rsid w:val="00B66C17"/>
    <w:rsid w:val="00B72726"/>
    <w:rsid w:val="00B8767E"/>
    <w:rsid w:val="00B91118"/>
    <w:rsid w:val="00BA1021"/>
    <w:rsid w:val="00BA108F"/>
    <w:rsid w:val="00BA2534"/>
    <w:rsid w:val="00BB5C84"/>
    <w:rsid w:val="00BB6894"/>
    <w:rsid w:val="00BD581F"/>
    <w:rsid w:val="00BE41F5"/>
    <w:rsid w:val="00C13F2D"/>
    <w:rsid w:val="00C20460"/>
    <w:rsid w:val="00C43542"/>
    <w:rsid w:val="00C6581F"/>
    <w:rsid w:val="00C72B2B"/>
    <w:rsid w:val="00C8322E"/>
    <w:rsid w:val="00C90639"/>
    <w:rsid w:val="00C957F7"/>
    <w:rsid w:val="00CA0D23"/>
    <w:rsid w:val="00CA5559"/>
    <w:rsid w:val="00CA5BB7"/>
    <w:rsid w:val="00CD14A0"/>
    <w:rsid w:val="00CE4139"/>
    <w:rsid w:val="00CE7287"/>
    <w:rsid w:val="00D06DA3"/>
    <w:rsid w:val="00D156B9"/>
    <w:rsid w:val="00D32D33"/>
    <w:rsid w:val="00D632DD"/>
    <w:rsid w:val="00D6799A"/>
    <w:rsid w:val="00D67B41"/>
    <w:rsid w:val="00D70F41"/>
    <w:rsid w:val="00D80567"/>
    <w:rsid w:val="00D80F34"/>
    <w:rsid w:val="00D863DB"/>
    <w:rsid w:val="00D9698B"/>
    <w:rsid w:val="00DE30A8"/>
    <w:rsid w:val="00DE5CA6"/>
    <w:rsid w:val="00E005EC"/>
    <w:rsid w:val="00E0462A"/>
    <w:rsid w:val="00E06044"/>
    <w:rsid w:val="00E07FCE"/>
    <w:rsid w:val="00E11CC3"/>
    <w:rsid w:val="00E30DEE"/>
    <w:rsid w:val="00E43478"/>
    <w:rsid w:val="00E56730"/>
    <w:rsid w:val="00E70094"/>
    <w:rsid w:val="00E72F3B"/>
    <w:rsid w:val="00E7458F"/>
    <w:rsid w:val="00E852B8"/>
    <w:rsid w:val="00EB5665"/>
    <w:rsid w:val="00F03418"/>
    <w:rsid w:val="00F158C6"/>
    <w:rsid w:val="00F25CDA"/>
    <w:rsid w:val="00F72021"/>
    <w:rsid w:val="00F7304C"/>
    <w:rsid w:val="00F73CAC"/>
    <w:rsid w:val="00F9617C"/>
    <w:rsid w:val="00FB74CB"/>
    <w:rsid w:val="00FC2967"/>
    <w:rsid w:val="00FD73EF"/>
    <w:rsid w:val="00FE27A3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0E077B"/>
  <w15:docId w15:val="{096B5FBD-3C84-4CCE-A1BF-7DCD2915D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BB5C84"/>
    <w:rPr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762D"/>
    <w:pPr>
      <w:keepNext/>
      <w:keepLines/>
      <w:spacing w:before="240" w:after="0"/>
      <w:outlineLvl w:val="0"/>
    </w:pPr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4E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0639"/>
  </w:style>
  <w:style w:type="paragraph" w:styleId="Fuzeile">
    <w:name w:val="footer"/>
    <w:basedOn w:val="Standard"/>
    <w:link w:val="Fu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0639"/>
  </w:style>
  <w:style w:type="paragraph" w:styleId="Titel">
    <w:name w:val="Title"/>
    <w:basedOn w:val="Standard"/>
    <w:next w:val="Standard"/>
    <w:link w:val="TitelZchn"/>
    <w:uiPriority w:val="10"/>
    <w:qFormat/>
    <w:rsid w:val="0099443D"/>
    <w:pPr>
      <w:spacing w:after="0" w:line="240" w:lineRule="auto"/>
      <w:contextualSpacing/>
    </w:pPr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43D"/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762D"/>
    <w:rPr>
      <w:rFonts w:ascii="NeulandFontEuro" w:eastAsiaTheme="majorEastAsia" w:hAnsi="NeulandFontEuro" w:cstheme="majorBidi"/>
      <w:color w:val="538135" w:themeColor="accent6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4A66"/>
    <w:pPr>
      <w:numPr>
        <w:ilvl w:val="1"/>
      </w:numPr>
    </w:pPr>
    <w:rPr>
      <w:rFonts w:eastAsiaTheme="minorEastAsia"/>
      <w:b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4A66"/>
    <w:rPr>
      <w:rFonts w:eastAsiaTheme="minorEastAsia"/>
      <w:b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74A66"/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table" w:styleId="Tabellenraster">
    <w:name w:val="Table Grid"/>
    <w:basedOn w:val="NormaleTabelle"/>
    <w:uiPriority w:val="39"/>
    <w:rsid w:val="00CA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F60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31D4B"/>
    <w:rPr>
      <w:color w:val="808080"/>
    </w:rPr>
  </w:style>
  <w:style w:type="paragraph" w:styleId="KeinLeerraum">
    <w:name w:val="No Spacing"/>
    <w:uiPriority w:val="1"/>
    <w:qFormat/>
    <w:rsid w:val="00BA2534"/>
    <w:pPr>
      <w:spacing w:after="0" w:line="240" w:lineRule="auto"/>
    </w:pPr>
    <w:rPr>
      <w:sz w:val="18"/>
      <w:szCs w:val="18"/>
    </w:rPr>
  </w:style>
  <w:style w:type="paragraph" w:customStyle="1" w:styleId="Lckentext">
    <w:name w:val="Lückentext"/>
    <w:basedOn w:val="Standard"/>
    <w:link w:val="LckentextZchn"/>
    <w:qFormat/>
    <w:rsid w:val="00927E6C"/>
    <w:pPr>
      <w:shd w:val="clear" w:color="auto" w:fill="D9D9D9" w:themeFill="background1" w:themeFillShade="D9"/>
    </w:pPr>
    <w:rPr>
      <w:rFonts w:eastAsiaTheme="minorEastAsia"/>
      <w:i/>
      <w:sz w:val="14"/>
      <w:szCs w:val="14"/>
    </w:rPr>
  </w:style>
  <w:style w:type="character" w:customStyle="1" w:styleId="LckentextZchn">
    <w:name w:val="Lückentext Zchn"/>
    <w:basedOn w:val="Absatz-Standardschriftart"/>
    <w:link w:val="Lckentext"/>
    <w:rsid w:val="00927E6C"/>
    <w:rPr>
      <w:rFonts w:eastAsiaTheme="minorEastAsia"/>
      <w:i/>
      <w:sz w:val="14"/>
      <w:szCs w:val="14"/>
      <w:shd w:val="clear" w:color="auto" w:fill="D9D9D9" w:themeFill="background1" w:themeFillShade="D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5E2C"/>
    <w:pPr>
      <w:spacing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5E2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A2B41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4E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D1E9A-F30C-4CF5-BD7E-4538232B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635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B. Baumgartinger</dc:creator>
  <cp:keywords/>
  <dc:description/>
  <cp:lastModifiedBy>Bernd Starlinger-Baumgartinger</cp:lastModifiedBy>
  <cp:revision>6</cp:revision>
  <cp:lastPrinted>2017-02-26T15:51:00Z</cp:lastPrinted>
  <dcterms:created xsi:type="dcterms:W3CDTF">2017-02-26T12:39:00Z</dcterms:created>
  <dcterms:modified xsi:type="dcterms:W3CDTF">2017-02-26T17:29:00Z</dcterms:modified>
</cp:coreProperties>
</file>